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A06E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A06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A06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A06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A06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A06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06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องค์การบริหารส่วนตำบลสะเอะ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ตำบลสะเอะ อำเภอกรงปินัง จังหวัดยะลา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95000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0-7323-8200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0-7323-8226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www.SA-AE.GO.TH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A06E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5305E0" w:rsidTr="005305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5305E0" w:rsidTr="005305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5305E0" w:rsidTr="005305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5305E0" w:rsidRDefault="005305E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5305E0" w:rsidTr="005305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5305E0" w:rsidTr="005305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E0" w:rsidRDefault="005305E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5305E0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A06EA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305E0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274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E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05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0A5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A362-1381-4A9D-BB6A-DBDA583E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2019-10-16T08:05:00Z</dcterms:modified>
</cp:coreProperties>
</file>